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1371" w14:textId="45E33944" w:rsidR="009670FD" w:rsidRPr="00DE19BF" w:rsidRDefault="009670FD" w:rsidP="009670FD">
      <w:pPr>
        <w:jc w:val="center"/>
        <w:rPr>
          <w:rFonts w:cstheme="minorHAnsi"/>
          <w:sz w:val="40"/>
          <w:szCs w:val="40"/>
        </w:rPr>
      </w:pPr>
      <w:r w:rsidRPr="00DE19BF">
        <w:rPr>
          <w:rFonts w:cstheme="minorHAnsi"/>
          <w:sz w:val="40"/>
          <w:szCs w:val="40"/>
        </w:rPr>
        <w:t xml:space="preserve">Acknowledgement of Violations </w:t>
      </w:r>
    </w:p>
    <w:p w14:paraId="3918C47D" w14:textId="0636C0A3" w:rsidR="009670FD" w:rsidRPr="00DE19BF" w:rsidRDefault="009670FD" w:rsidP="009670FD">
      <w:pPr>
        <w:jc w:val="center"/>
        <w:rPr>
          <w:rFonts w:cstheme="minorHAnsi"/>
        </w:rPr>
      </w:pPr>
    </w:p>
    <w:p w14:paraId="7D88DCCA" w14:textId="1FF22296" w:rsidR="009670FD" w:rsidRPr="00DE19BF" w:rsidRDefault="009670FD" w:rsidP="009670FD">
      <w:pPr>
        <w:rPr>
          <w:rFonts w:eastAsia="Times New Roman" w:cstheme="minorHAnsi"/>
        </w:rPr>
      </w:pPr>
      <w:r w:rsidRPr="00DE19BF">
        <w:rPr>
          <w:rFonts w:cstheme="minorHAnsi"/>
        </w:rPr>
        <w:t xml:space="preserve">This document </w:t>
      </w:r>
      <w:r w:rsidR="00DE19BF">
        <w:rPr>
          <w:rFonts w:cstheme="minorHAnsi"/>
        </w:rPr>
        <w:t>serves</w:t>
      </w:r>
      <w:r w:rsidRPr="00DE19BF">
        <w:rPr>
          <w:rFonts w:cstheme="minorHAnsi"/>
        </w:rPr>
        <w:t xml:space="preserve"> notice that you are aware that you are in violation of Article 2, Section 2</w:t>
      </w:r>
      <w:r w:rsidR="00DE19BF">
        <w:rPr>
          <w:rStyle w:val="FootnoteReference"/>
          <w:rFonts w:cstheme="minorHAnsi"/>
        </w:rPr>
        <w:footnoteReference w:id="1"/>
      </w:r>
      <w:r w:rsidRPr="00DE19BF">
        <w:rPr>
          <w:rFonts w:cstheme="minorHAnsi"/>
        </w:rPr>
        <w:t xml:space="preserve"> and Article 2, Section 24</w:t>
      </w:r>
      <w:r w:rsidR="00DE19BF">
        <w:rPr>
          <w:rStyle w:val="FootnoteReference"/>
          <w:rFonts w:cstheme="minorHAnsi"/>
        </w:rPr>
        <w:footnoteReference w:id="2"/>
      </w:r>
      <w:r w:rsidRPr="00DE19BF">
        <w:rPr>
          <w:rFonts w:cstheme="minorHAnsi"/>
        </w:rPr>
        <w:t xml:space="preserve"> of the Constitution of the state of Arkansas as well as Federal Law </w:t>
      </w:r>
      <w:r w:rsidRPr="00DE19BF">
        <w:rPr>
          <w:rFonts w:eastAsia="Times New Roman" w:cstheme="minorHAnsi"/>
        </w:rPr>
        <w:t xml:space="preserve">Title </w:t>
      </w:r>
      <w:hyperlink r:id="rId7" w:history="1">
        <w:r w:rsidRPr="00DE19BF">
          <w:rPr>
            <w:rStyle w:val="Hyperlink"/>
            <w:rFonts w:eastAsia="Times New Roman" w:cstheme="minorHAnsi"/>
          </w:rPr>
          <w:t>21 U.S.C. § 360bbb-3(e)(1)(A)(ii)(I-III)</w:t>
        </w:r>
      </w:hyperlink>
      <w:r w:rsidRPr="00DE19BF">
        <w:rPr>
          <w:rFonts w:eastAsia="Times New Roman" w:cstheme="minorHAnsi"/>
          <w:color w:val="0260BF"/>
        </w:rPr>
        <w:t xml:space="preserve"> </w:t>
      </w:r>
      <w:r w:rsidRPr="00DE19BF">
        <w:rPr>
          <w:rFonts w:eastAsia="Times New Roman" w:cstheme="minorHAnsi"/>
        </w:rPr>
        <w:t>of the Federal Food, Drug, and Cosmetic Act (FD&amp;C Act)</w:t>
      </w:r>
      <w:r w:rsidRPr="00DE19BF">
        <w:rPr>
          <w:rFonts w:eastAsia="Times New Roman" w:cstheme="minorHAnsi"/>
        </w:rPr>
        <w:t>.</w:t>
      </w:r>
      <w:r w:rsidR="00DE19BF">
        <w:rPr>
          <w:rStyle w:val="FootnoteReference"/>
          <w:rFonts w:eastAsia="Times New Roman" w:cstheme="minorHAnsi"/>
        </w:rPr>
        <w:footnoteReference w:id="3"/>
      </w:r>
    </w:p>
    <w:p w14:paraId="130A2CC0" w14:textId="1D088B56" w:rsidR="009670FD" w:rsidRPr="00DE19BF" w:rsidRDefault="009670FD" w:rsidP="009670FD">
      <w:pPr>
        <w:rPr>
          <w:rFonts w:cstheme="minorHAnsi"/>
          <w:color w:val="333333"/>
        </w:rPr>
      </w:pPr>
      <w:r w:rsidRPr="00DE19BF">
        <w:rPr>
          <w:rFonts w:eastAsia="Times New Roman" w:cstheme="minorHAnsi"/>
        </w:rPr>
        <w:t>Article 2, Section 2 of the Constitution of the state of Arkansas states: “</w:t>
      </w:r>
      <w:r w:rsidRPr="00DE19BF">
        <w:rPr>
          <w:rFonts w:cstheme="minorHAnsi"/>
          <w:color w:val="333333"/>
        </w:rPr>
        <w:t>All political power is inherent in the people and government is instituted for their protection, security and benefit; and they have the right to alter, reform or abolish the same, in such manner as they may think proper.</w:t>
      </w:r>
      <w:r w:rsidRPr="00DE19BF">
        <w:rPr>
          <w:rFonts w:cstheme="minorHAnsi"/>
          <w:color w:val="333333"/>
        </w:rPr>
        <w:t>”</w:t>
      </w:r>
      <w:r w:rsidRPr="00DE19BF">
        <w:rPr>
          <w:rStyle w:val="FootnoteReference"/>
          <w:rFonts w:cstheme="minorHAnsi"/>
          <w:color w:val="333333"/>
        </w:rPr>
        <w:footnoteReference w:id="4"/>
      </w:r>
      <w:r w:rsidRPr="00DE19BF">
        <w:rPr>
          <w:rFonts w:cstheme="minorHAnsi"/>
          <w:color w:val="333333"/>
        </w:rPr>
        <w:t xml:space="preserve">  Removing political power from the people by enforcing unconstitutional mask mandates is a violation of Article 2, Section 2 of the Constitution.</w:t>
      </w:r>
    </w:p>
    <w:p w14:paraId="6BD61B2F" w14:textId="67CA7C02" w:rsidR="008807A9" w:rsidRPr="00DE19BF" w:rsidRDefault="008807A9" w:rsidP="009670FD">
      <w:pPr>
        <w:rPr>
          <w:rFonts w:cstheme="minorHAnsi"/>
          <w:color w:val="333333"/>
        </w:rPr>
      </w:pPr>
      <w:r w:rsidRPr="00DE19BF">
        <w:rPr>
          <w:rFonts w:cstheme="minorHAnsi"/>
          <w:color w:val="333333"/>
        </w:rPr>
        <w:t xml:space="preserve">Article 2, Section 24 of the Constitution of the state of Arkansas states </w:t>
      </w:r>
      <w:r w:rsidRPr="00DE19BF">
        <w:rPr>
          <w:rFonts w:cstheme="minorHAnsi"/>
        </w:rPr>
        <w:t>in part that “</w:t>
      </w:r>
      <w:r w:rsidRPr="00DE19BF">
        <w:rPr>
          <w:rFonts w:cstheme="minorHAnsi"/>
          <w:color w:val="333333"/>
        </w:rPr>
        <w:t>No human authority can, in any case or manner whatsoever, control or interfere with the right of conscience</w:t>
      </w:r>
      <w:r w:rsidR="00801D6C" w:rsidRPr="00DE19BF">
        <w:rPr>
          <w:rFonts w:cstheme="minorHAnsi"/>
          <w:color w:val="333333"/>
        </w:rPr>
        <w:t>;” Forcing</w:t>
      </w:r>
      <w:r w:rsidRPr="00DE19BF">
        <w:rPr>
          <w:rFonts w:cstheme="minorHAnsi"/>
          <w:color w:val="333333"/>
        </w:rPr>
        <w:t xml:space="preserve"> students, faculty, and staff to wear a mask which controls or interferes with the right of conscience is a violation of Article 2, Section 24 of the Constitution.</w:t>
      </w:r>
    </w:p>
    <w:p w14:paraId="477CA0E6" w14:textId="4F2792DA" w:rsidR="008807A9" w:rsidRPr="00DE19BF" w:rsidRDefault="00DE19BF" w:rsidP="008807A9">
      <w:pPr>
        <w:rPr>
          <w:rFonts w:eastAsia="Times New Roman" w:cstheme="minorHAnsi"/>
        </w:rPr>
      </w:pPr>
      <w:r w:rsidRPr="00DE19BF">
        <w:rPr>
          <w:rFonts w:eastAsia="Times New Roman" w:cstheme="minorHAnsi"/>
        </w:rPr>
        <w:t xml:space="preserve">All </w:t>
      </w:r>
      <w:hyperlink r:id="rId8" w:history="1">
        <w:r w:rsidRPr="00DE19BF">
          <w:rPr>
            <w:rStyle w:val="Hyperlink"/>
            <w:rFonts w:eastAsia="Times New Roman" w:cstheme="minorHAnsi"/>
          </w:rPr>
          <w:t>COVID-19 masks</w:t>
        </w:r>
      </w:hyperlink>
      <w:r w:rsidRPr="00DE19BF">
        <w:rPr>
          <w:rFonts w:eastAsia="Times New Roman" w:cstheme="minorHAnsi"/>
        </w:rPr>
        <w:t xml:space="preserve">, whether surgical, N95 or other respirators, are authorized, not approved or licensed, by the federal government; they are </w:t>
      </w:r>
      <w:hyperlink r:id="rId9" w:anchor="covidinvitrodev" w:history="1">
        <w:r w:rsidRPr="00DE19BF">
          <w:rPr>
            <w:rStyle w:val="Hyperlink"/>
            <w:rFonts w:eastAsia="Times New Roman" w:cstheme="minorHAnsi"/>
          </w:rPr>
          <w:t>Emergency Use Authorization</w:t>
        </w:r>
      </w:hyperlink>
      <w:r w:rsidRPr="00DE19BF">
        <w:rPr>
          <w:rFonts w:eastAsia="Times New Roman" w:cstheme="minorHAnsi"/>
        </w:rPr>
        <w:t xml:space="preserve"> (EUA) only. They merely “may be effective.” </w:t>
      </w:r>
      <w:r w:rsidR="008807A9" w:rsidRPr="00DE19BF">
        <w:rPr>
          <w:rFonts w:cstheme="minorHAnsi"/>
        </w:rPr>
        <w:t xml:space="preserve">Federal Law </w:t>
      </w:r>
      <w:r w:rsidR="008807A9" w:rsidRPr="00DE19BF">
        <w:rPr>
          <w:rFonts w:eastAsia="Times New Roman" w:cstheme="minorHAnsi"/>
        </w:rPr>
        <w:t xml:space="preserve">Title </w:t>
      </w:r>
      <w:hyperlink r:id="rId10" w:history="1">
        <w:r w:rsidR="008807A9" w:rsidRPr="00DE19BF">
          <w:rPr>
            <w:rStyle w:val="Hyperlink"/>
            <w:rFonts w:eastAsia="Times New Roman" w:cstheme="minorHAnsi"/>
          </w:rPr>
          <w:t>21 U.S.C. § 360bbb-3(</w:t>
        </w:r>
        <w:r w:rsidR="008807A9" w:rsidRPr="00DE19BF">
          <w:rPr>
            <w:rStyle w:val="Hyperlink"/>
            <w:rFonts w:eastAsia="Times New Roman" w:cstheme="minorHAnsi"/>
          </w:rPr>
          <w:t>e</w:t>
        </w:r>
        <w:r w:rsidR="008807A9" w:rsidRPr="00DE19BF">
          <w:rPr>
            <w:rStyle w:val="Hyperlink"/>
            <w:rFonts w:eastAsia="Times New Roman" w:cstheme="minorHAnsi"/>
          </w:rPr>
          <w:t>)(1)(A)(ii)(I-III)</w:t>
        </w:r>
      </w:hyperlink>
      <w:r w:rsidR="008807A9" w:rsidRPr="00DE19BF">
        <w:rPr>
          <w:rFonts w:eastAsia="Times New Roman" w:cstheme="minorHAnsi"/>
          <w:color w:val="0260BF"/>
        </w:rPr>
        <w:t xml:space="preserve"> </w:t>
      </w:r>
      <w:r w:rsidR="008807A9" w:rsidRPr="00DE19BF">
        <w:rPr>
          <w:rFonts w:eastAsia="Times New Roman" w:cstheme="minorHAnsi"/>
        </w:rPr>
        <w:t>of the Federal Food, Drug, and Cosmetic Act (FD&amp;C Act)</w:t>
      </w:r>
      <w:r w:rsidR="008807A9" w:rsidRPr="00DE19BF">
        <w:rPr>
          <w:rFonts w:eastAsia="Times New Roman" w:cstheme="minorHAnsi"/>
        </w:rPr>
        <w:t xml:space="preserve"> states</w:t>
      </w:r>
      <w:r w:rsidR="008807A9" w:rsidRPr="00DE19BF">
        <w:rPr>
          <w:rFonts w:eastAsia="Times New Roman" w:cstheme="minorHAnsi"/>
        </w:rPr>
        <w:t xml:space="preserve">: </w:t>
      </w:r>
    </w:p>
    <w:p w14:paraId="133580E8" w14:textId="77777777" w:rsidR="008807A9" w:rsidRPr="00DE19BF" w:rsidRDefault="008807A9" w:rsidP="008807A9">
      <w:pPr>
        <w:spacing w:before="100" w:beforeAutospacing="1" w:after="100" w:afterAutospacing="1"/>
        <w:ind w:left="720"/>
        <w:rPr>
          <w:rFonts w:eastAsia="Times New Roman" w:cstheme="minorHAnsi"/>
        </w:rPr>
      </w:pPr>
      <w:r w:rsidRPr="00DE19BF">
        <w:rPr>
          <w:rFonts w:eastAsia="Times New Roman" w:cstheme="minorHAnsi"/>
        </w:rPr>
        <w:t xml:space="preserve">individuals to whom the product is administered are informed— </w:t>
      </w:r>
    </w:p>
    <w:p w14:paraId="069F0699" w14:textId="6156A37E" w:rsidR="008807A9" w:rsidRPr="00DE19BF" w:rsidRDefault="008807A9" w:rsidP="008807A9">
      <w:pPr>
        <w:spacing w:before="100" w:beforeAutospacing="1" w:after="100" w:afterAutospacing="1"/>
        <w:ind w:left="720"/>
        <w:rPr>
          <w:rFonts w:eastAsia="Times New Roman" w:cstheme="minorHAnsi"/>
        </w:rPr>
      </w:pPr>
      <w:r w:rsidRPr="00DE19BF">
        <w:rPr>
          <w:rFonts w:eastAsia="Times New Roman" w:cstheme="minorHAnsi"/>
        </w:rPr>
        <w:t>(I) that the Secretary has authorized the emergency use of the product;</w:t>
      </w:r>
      <w:r w:rsidRPr="00DE19BF">
        <w:rPr>
          <w:rFonts w:eastAsia="Times New Roman" w:cstheme="minorHAnsi"/>
        </w:rPr>
        <w:br/>
        <w:t>(II) of the significant known and potential benefits and risks of such use, and of the extent to which such benefits and risks are unknown; and</w:t>
      </w:r>
      <w:r w:rsidRPr="00DE19BF">
        <w:rPr>
          <w:rFonts w:eastAsia="Times New Roman" w:cstheme="minorHAnsi"/>
        </w:rPr>
        <w:br/>
        <w:t xml:space="preserve">(III) of the </w:t>
      </w:r>
      <w:r w:rsidRPr="00DE19BF">
        <w:rPr>
          <w:rFonts w:eastAsia="Times New Roman" w:cstheme="minorHAnsi"/>
          <w:b/>
          <w:bCs/>
        </w:rPr>
        <w:t>option to accept or refuse administration of the product</w:t>
      </w:r>
      <w:r w:rsidRPr="00DE19BF">
        <w:rPr>
          <w:rFonts w:eastAsia="Times New Roman" w:cstheme="minorHAnsi"/>
        </w:rPr>
        <w:t xml:space="preserve">, of the consequences, if any, of refusing administration of the product, and of the alternatives to the product that are available and of their benefits and risks. </w:t>
      </w:r>
    </w:p>
    <w:p w14:paraId="376C1CE4" w14:textId="74A22C8F" w:rsidR="008807A9" w:rsidRPr="00DE19BF" w:rsidRDefault="008807A9" w:rsidP="008807A9">
      <w:pPr>
        <w:spacing w:before="100" w:beforeAutospacing="1" w:after="100" w:afterAutospacing="1"/>
        <w:rPr>
          <w:rFonts w:eastAsia="Times New Roman" w:cstheme="minorHAnsi"/>
        </w:rPr>
      </w:pPr>
      <w:r w:rsidRPr="00DE19BF">
        <w:rPr>
          <w:rFonts w:eastAsia="Times New Roman" w:cstheme="minorHAnsi"/>
        </w:rPr>
        <w:t xml:space="preserve">EUA products are </w:t>
      </w:r>
      <w:proofErr w:type="gramStart"/>
      <w:r w:rsidRPr="00DE19BF">
        <w:rPr>
          <w:rFonts w:eastAsia="Times New Roman" w:cstheme="minorHAnsi"/>
        </w:rPr>
        <w:t>by definition experimental</w:t>
      </w:r>
      <w:proofErr w:type="gramEnd"/>
      <w:r w:rsidRPr="00DE19BF">
        <w:rPr>
          <w:rFonts w:eastAsia="Times New Roman" w:cstheme="minorHAnsi"/>
        </w:rPr>
        <w:t xml:space="preserve"> and thus require the right to refuse. Under the Nuremberg Code, the foundation of ethical medicine, no one may be coerced to participate in a medical experiment. Consent of the individual is “absolutely essential.” A federal court held that even the U.S. military could not mandate EUA vaccines to soldiers. Doe #1 v. Rumsfeld, 297 F.Supp.2d 119 (2003).</w:t>
      </w:r>
      <w:r w:rsidR="006233EF">
        <w:rPr>
          <w:rStyle w:val="FootnoteReference"/>
          <w:rFonts w:eastAsia="Times New Roman" w:cstheme="minorHAnsi"/>
        </w:rPr>
        <w:footnoteReference w:id="5"/>
      </w:r>
      <w:r w:rsidRPr="00DE19BF">
        <w:rPr>
          <w:rFonts w:eastAsia="Times New Roman" w:cstheme="minorHAnsi"/>
        </w:rPr>
        <w:t xml:space="preserve"> </w:t>
      </w:r>
    </w:p>
    <w:p w14:paraId="499D2FEB" w14:textId="34DD96D9" w:rsidR="008807A9" w:rsidRPr="00DE19BF" w:rsidRDefault="008807A9" w:rsidP="008807A9">
      <w:pPr>
        <w:spacing w:before="100" w:beforeAutospacing="1" w:after="100" w:afterAutospacing="1"/>
        <w:rPr>
          <w:rFonts w:eastAsia="Times New Roman" w:cstheme="minorHAnsi"/>
        </w:rPr>
      </w:pPr>
      <w:r w:rsidRPr="00DE19BF">
        <w:rPr>
          <w:rFonts w:eastAsia="Times New Roman" w:cstheme="minorHAnsi"/>
        </w:rPr>
        <w:t xml:space="preserve">In a </w:t>
      </w:r>
      <w:hyperlink r:id="rId11" w:history="1">
        <w:r w:rsidRPr="00DE19BF">
          <w:rPr>
            <w:rStyle w:val="Hyperlink"/>
            <w:rFonts w:eastAsia="Times New Roman" w:cstheme="minorHAnsi"/>
          </w:rPr>
          <w:t>letter</w:t>
        </w:r>
      </w:hyperlink>
      <w:r w:rsidR="006233EF">
        <w:rPr>
          <w:rStyle w:val="FootnoteReference"/>
          <w:rFonts w:eastAsia="Times New Roman" w:cstheme="minorHAnsi"/>
          <w:color w:val="0563C1" w:themeColor="hyperlink"/>
          <w:u w:val="single"/>
        </w:rPr>
        <w:footnoteReference w:id="6"/>
      </w:r>
      <w:r w:rsidRPr="00DE19BF">
        <w:rPr>
          <w:rFonts w:eastAsia="Times New Roman" w:cstheme="minorHAnsi"/>
          <w:color w:val="0260BF"/>
        </w:rPr>
        <w:t xml:space="preserve"> </w:t>
      </w:r>
      <w:r w:rsidRPr="00DE19BF">
        <w:rPr>
          <w:rFonts w:eastAsia="Times New Roman" w:cstheme="minorHAnsi"/>
        </w:rPr>
        <w:t xml:space="preserve">dated April 24, 2020, the Food and Drug Administration stated that authorized face masks must be labelled accurately and may not be labeled in a way that misrepresents the product’s intended </w:t>
      </w:r>
      <w:r w:rsidRPr="00DE19BF">
        <w:rPr>
          <w:rFonts w:eastAsia="Times New Roman" w:cstheme="minorHAnsi"/>
        </w:rPr>
        <w:lastRenderedPageBreak/>
        <w:t xml:space="preserve">use as “source control to help prevent the spread of SARS-CoV-2.” The letter specifies that the labeling “may not state or imply that the product is intended for antimicrobial or antiviral protection or related uses or is for use such as infection prevention or reduction.” Any EUA mandate requiring individuals to </w:t>
      </w:r>
      <w:r w:rsidR="00DE19BF">
        <w:rPr>
          <w:rFonts w:eastAsia="Times New Roman" w:cstheme="minorHAnsi"/>
        </w:rPr>
        <w:t>w</w:t>
      </w:r>
      <w:r w:rsidRPr="00DE19BF">
        <w:rPr>
          <w:rFonts w:eastAsia="Times New Roman" w:cstheme="minorHAnsi"/>
        </w:rPr>
        <w:t>ear face masks conflicts with Section 360bbb-3(e)(1)(A)(</w:t>
      </w:r>
      <w:proofErr w:type="gramStart"/>
      <w:r w:rsidRPr="00DE19BF">
        <w:rPr>
          <w:rFonts w:eastAsia="Times New Roman" w:cstheme="minorHAnsi"/>
        </w:rPr>
        <w:t>ii)(</w:t>
      </w:r>
      <w:proofErr w:type="gramEnd"/>
      <w:r w:rsidRPr="00DE19BF">
        <w:rPr>
          <w:rFonts w:eastAsia="Times New Roman" w:cstheme="minorHAnsi"/>
        </w:rPr>
        <w:t xml:space="preserve">I-III), which provides that the person must be informed of the option to refuse to wear the device. </w:t>
      </w:r>
    </w:p>
    <w:p w14:paraId="2E442316" w14:textId="6243E1F7" w:rsidR="008807A9" w:rsidRDefault="008807A9" w:rsidP="008807A9">
      <w:pPr>
        <w:spacing w:before="100" w:beforeAutospacing="1" w:after="100" w:afterAutospacing="1"/>
        <w:rPr>
          <w:rFonts w:eastAsia="Times New Roman" w:cstheme="minorHAnsi"/>
        </w:rPr>
      </w:pPr>
      <w:r w:rsidRPr="00DE19BF">
        <w:rPr>
          <w:rFonts w:eastAsia="Times New Roman" w:cstheme="minorHAnsi"/>
        </w:rPr>
        <w:t xml:space="preserve">Liability for forced participation in a medical experiment, including possible injury, may be incalculable. Children’s Health Defense urges U.S. employers, </w:t>
      </w:r>
      <w:proofErr w:type="gramStart"/>
      <w:r w:rsidRPr="00DE19BF">
        <w:rPr>
          <w:rFonts w:eastAsia="Times New Roman" w:cstheme="minorHAnsi"/>
        </w:rPr>
        <w:t>universities</w:t>
      </w:r>
      <w:proofErr w:type="gramEnd"/>
      <w:r w:rsidRPr="00DE19BF">
        <w:rPr>
          <w:rFonts w:eastAsia="Times New Roman" w:cstheme="minorHAnsi"/>
        </w:rPr>
        <w:t xml:space="preserve"> and other institutions to respect and uphold the rights of individuals to refuse to wear EUA masks. </w:t>
      </w:r>
    </w:p>
    <w:p w14:paraId="6140B4B8" w14:textId="634717E5" w:rsidR="006233EF" w:rsidRPr="00801D6C" w:rsidRDefault="006233EF" w:rsidP="008807A9">
      <w:pPr>
        <w:spacing w:before="100" w:beforeAutospacing="1" w:after="100" w:afterAutospacing="1"/>
        <w:rPr>
          <w:rFonts w:eastAsia="Times New Roman" w:cstheme="minorHAnsi"/>
          <w:b/>
          <w:bCs/>
        </w:rPr>
      </w:pPr>
      <w:r w:rsidRPr="00801D6C">
        <w:rPr>
          <w:rFonts w:eastAsia="Times New Roman" w:cstheme="minorHAnsi"/>
          <w:b/>
          <w:bCs/>
        </w:rPr>
        <w:t xml:space="preserve">You hereby acknowledge that you are aware that mandating or forcing anyone to wear a mask against their will is a violation of the state constitution and federal law.  If you choose to ignore the constitution and federal </w:t>
      </w:r>
      <w:proofErr w:type="gramStart"/>
      <w:r w:rsidRPr="00801D6C">
        <w:rPr>
          <w:rFonts w:eastAsia="Times New Roman" w:cstheme="minorHAnsi"/>
          <w:b/>
          <w:bCs/>
        </w:rPr>
        <w:t>law</w:t>
      </w:r>
      <w:proofErr w:type="gramEnd"/>
      <w:r w:rsidRPr="00801D6C">
        <w:rPr>
          <w:rFonts w:eastAsia="Times New Roman" w:cstheme="minorHAnsi"/>
          <w:b/>
          <w:bCs/>
        </w:rPr>
        <w:t xml:space="preserve"> you acknowledge that you may be liable for civil or criminal litigation.</w:t>
      </w:r>
    </w:p>
    <w:p w14:paraId="396C8E46" w14:textId="149AE45B" w:rsidR="006233EF" w:rsidRDefault="006233EF" w:rsidP="008807A9">
      <w:pPr>
        <w:spacing w:before="100" w:beforeAutospacing="1" w:after="100" w:afterAutospacing="1"/>
        <w:rPr>
          <w:rFonts w:eastAsia="Times New Roman" w:cstheme="minorHAnsi"/>
        </w:rPr>
      </w:pPr>
    </w:p>
    <w:p w14:paraId="15373122" w14:textId="7485096C" w:rsidR="006233EF" w:rsidRDefault="006233EF" w:rsidP="008807A9">
      <w:pPr>
        <w:spacing w:before="100" w:beforeAutospacing="1" w:after="100" w:afterAutospacing="1"/>
        <w:rPr>
          <w:rFonts w:eastAsia="Times New Roman" w:cstheme="minorHAnsi"/>
        </w:rPr>
      </w:pPr>
      <w:r>
        <w:rPr>
          <w:rFonts w:eastAsia="Times New Roman" w:cstheme="minorHAnsi"/>
        </w:rPr>
        <w:t>Printed Name_______________________________</w:t>
      </w:r>
    </w:p>
    <w:p w14:paraId="2EC765D4" w14:textId="329A3794" w:rsidR="006233EF" w:rsidRDefault="006233EF" w:rsidP="008807A9">
      <w:pPr>
        <w:spacing w:before="100" w:beforeAutospacing="1" w:after="100" w:afterAutospacing="1"/>
        <w:rPr>
          <w:rFonts w:eastAsia="Times New Roman" w:cstheme="minorHAnsi"/>
        </w:rPr>
      </w:pPr>
    </w:p>
    <w:p w14:paraId="61530021" w14:textId="18F20E88" w:rsidR="006233EF" w:rsidRDefault="006233EF" w:rsidP="008807A9">
      <w:pPr>
        <w:spacing w:before="100" w:beforeAutospacing="1" w:after="100" w:afterAutospacing="1"/>
        <w:rPr>
          <w:rFonts w:eastAsia="Times New Roman" w:cstheme="minorHAnsi"/>
        </w:rPr>
      </w:pPr>
      <w:r>
        <w:rPr>
          <w:rFonts w:eastAsia="Times New Roman" w:cstheme="minorHAnsi"/>
        </w:rPr>
        <w:t>Signed Name________________________________</w:t>
      </w:r>
    </w:p>
    <w:p w14:paraId="19244855" w14:textId="1FF79EF3" w:rsidR="006233EF" w:rsidRDefault="006233EF" w:rsidP="008807A9">
      <w:pPr>
        <w:spacing w:before="100" w:beforeAutospacing="1" w:after="100" w:afterAutospacing="1"/>
        <w:rPr>
          <w:rFonts w:eastAsia="Times New Roman" w:cstheme="minorHAnsi"/>
        </w:rPr>
      </w:pPr>
    </w:p>
    <w:p w14:paraId="7999A159" w14:textId="5B467E68" w:rsidR="006233EF" w:rsidRPr="00DE19BF" w:rsidRDefault="006233EF" w:rsidP="008807A9">
      <w:pPr>
        <w:spacing w:before="100" w:beforeAutospacing="1" w:after="100" w:afterAutospacing="1"/>
        <w:rPr>
          <w:rFonts w:eastAsia="Times New Roman" w:cstheme="minorHAnsi"/>
        </w:rPr>
      </w:pPr>
      <w:r>
        <w:rPr>
          <w:rFonts w:eastAsia="Times New Roman" w:cstheme="minorHAnsi"/>
        </w:rPr>
        <w:t>Date_______________________________________</w:t>
      </w:r>
    </w:p>
    <w:p w14:paraId="53CAF0F7" w14:textId="77777777" w:rsidR="008807A9" w:rsidRPr="00DE19BF" w:rsidRDefault="008807A9" w:rsidP="008807A9">
      <w:pPr>
        <w:spacing w:before="100" w:beforeAutospacing="1" w:after="100" w:afterAutospacing="1"/>
        <w:rPr>
          <w:rFonts w:eastAsia="Times New Roman" w:cstheme="minorHAnsi"/>
        </w:rPr>
      </w:pPr>
    </w:p>
    <w:p w14:paraId="3EC5DB58" w14:textId="77777777" w:rsidR="008807A9" w:rsidRPr="00DE19BF" w:rsidRDefault="008807A9" w:rsidP="009670FD">
      <w:pPr>
        <w:rPr>
          <w:rFonts w:cstheme="minorHAnsi"/>
          <w:color w:val="333333"/>
        </w:rPr>
      </w:pPr>
    </w:p>
    <w:p w14:paraId="26A5C6AA" w14:textId="77777777" w:rsidR="008807A9" w:rsidRPr="00DE19BF" w:rsidRDefault="008807A9" w:rsidP="009670FD">
      <w:pPr>
        <w:rPr>
          <w:rFonts w:cstheme="minorHAnsi"/>
        </w:rPr>
      </w:pPr>
    </w:p>
    <w:sectPr w:rsidR="008807A9" w:rsidRPr="00DE19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8FDF" w14:textId="77777777" w:rsidR="006C2835" w:rsidRDefault="006C2835" w:rsidP="009670FD">
      <w:pPr>
        <w:spacing w:after="0" w:line="240" w:lineRule="auto"/>
      </w:pPr>
      <w:r>
        <w:separator/>
      </w:r>
    </w:p>
  </w:endnote>
  <w:endnote w:type="continuationSeparator" w:id="0">
    <w:p w14:paraId="7B59E6FB" w14:textId="77777777" w:rsidR="006C2835" w:rsidRDefault="006C2835" w:rsidP="0096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9911" w14:textId="77777777" w:rsidR="006C2835" w:rsidRDefault="006C2835" w:rsidP="009670FD">
      <w:pPr>
        <w:spacing w:after="0" w:line="240" w:lineRule="auto"/>
      </w:pPr>
      <w:r>
        <w:separator/>
      </w:r>
    </w:p>
  </w:footnote>
  <w:footnote w:type="continuationSeparator" w:id="0">
    <w:p w14:paraId="2678103E" w14:textId="77777777" w:rsidR="006C2835" w:rsidRDefault="006C2835" w:rsidP="009670FD">
      <w:pPr>
        <w:spacing w:after="0" w:line="240" w:lineRule="auto"/>
      </w:pPr>
      <w:r>
        <w:continuationSeparator/>
      </w:r>
    </w:p>
  </w:footnote>
  <w:footnote w:id="1">
    <w:p w14:paraId="58688C52" w14:textId="0B22D413" w:rsidR="00DE19BF" w:rsidRDefault="00DE19BF">
      <w:pPr>
        <w:pStyle w:val="FootnoteText"/>
      </w:pPr>
      <w:r>
        <w:rPr>
          <w:rStyle w:val="FootnoteReference"/>
        </w:rPr>
        <w:footnoteRef/>
      </w:r>
      <w:r>
        <w:t xml:space="preserve"> </w:t>
      </w:r>
      <w:hyperlink r:id="rId1" w:history="1">
        <w:r w:rsidRPr="00E10620">
          <w:rPr>
            <w:rStyle w:val="Hyperlink"/>
          </w:rPr>
          <w:t>https://ballotpedia.org/Article_2,_Arkansas_Constitution</w:t>
        </w:r>
      </w:hyperlink>
    </w:p>
  </w:footnote>
  <w:footnote w:id="2">
    <w:p w14:paraId="4BBDCB7F" w14:textId="41FD9232" w:rsidR="00DE19BF" w:rsidRDefault="00DE19BF">
      <w:pPr>
        <w:pStyle w:val="FootnoteText"/>
      </w:pPr>
      <w:r>
        <w:rPr>
          <w:rStyle w:val="FootnoteReference"/>
        </w:rPr>
        <w:footnoteRef/>
      </w:r>
      <w:r>
        <w:t xml:space="preserve"> </w:t>
      </w:r>
      <w:hyperlink r:id="rId2" w:history="1">
        <w:r w:rsidRPr="00E10620">
          <w:rPr>
            <w:rStyle w:val="Hyperlink"/>
          </w:rPr>
          <w:t>https://ballotpedia.org/Article_2,_Arkansas_Constitution</w:t>
        </w:r>
      </w:hyperlink>
    </w:p>
  </w:footnote>
  <w:footnote w:id="3">
    <w:p w14:paraId="27259DD9" w14:textId="2B399CDE" w:rsidR="00DE19BF" w:rsidRDefault="00DE19BF">
      <w:pPr>
        <w:pStyle w:val="FootnoteText"/>
      </w:pPr>
      <w:r>
        <w:rPr>
          <w:rStyle w:val="FootnoteReference"/>
        </w:rPr>
        <w:footnoteRef/>
      </w:r>
      <w:r>
        <w:t xml:space="preserve"> </w:t>
      </w:r>
      <w:hyperlink r:id="rId3" w:history="1">
        <w:r w:rsidRPr="00DE19BF">
          <w:rPr>
            <w:rStyle w:val="Hyperlink"/>
          </w:rPr>
          <w:t>https://www.law.cornell.edu/uscode/text/21/360bbb-3</w:t>
        </w:r>
      </w:hyperlink>
    </w:p>
  </w:footnote>
  <w:footnote w:id="4">
    <w:p w14:paraId="1D15E2A6" w14:textId="18E986B5" w:rsidR="009670FD" w:rsidRDefault="009670FD">
      <w:pPr>
        <w:pStyle w:val="FootnoteText"/>
      </w:pPr>
    </w:p>
  </w:footnote>
  <w:footnote w:id="5">
    <w:p w14:paraId="0C946762" w14:textId="4622FDB5" w:rsidR="006233EF" w:rsidRDefault="006233EF">
      <w:pPr>
        <w:pStyle w:val="FootnoteText"/>
      </w:pPr>
      <w:r>
        <w:rPr>
          <w:rStyle w:val="FootnoteReference"/>
        </w:rPr>
        <w:footnoteRef/>
      </w:r>
      <w:r>
        <w:t xml:space="preserve"> </w:t>
      </w:r>
      <w:hyperlink r:id="rId4" w:history="1">
        <w:r w:rsidRPr="006233EF">
          <w:rPr>
            <w:rStyle w:val="Hyperlink"/>
          </w:rPr>
          <w:t>https://casetext.com/case/doe-v-rumsfeld-6</w:t>
        </w:r>
      </w:hyperlink>
    </w:p>
  </w:footnote>
  <w:footnote w:id="6">
    <w:p w14:paraId="33F0CE96" w14:textId="16D7722D" w:rsidR="006233EF" w:rsidRDefault="006233EF">
      <w:pPr>
        <w:pStyle w:val="FootnoteText"/>
      </w:pPr>
      <w:r>
        <w:rPr>
          <w:rStyle w:val="FootnoteReference"/>
        </w:rPr>
        <w:footnoteRef/>
      </w:r>
      <w:r>
        <w:t xml:space="preserve"> </w:t>
      </w:r>
      <w:hyperlink r:id="rId5" w:history="1">
        <w:r w:rsidRPr="006233EF">
          <w:rPr>
            <w:rStyle w:val="Hyperlink"/>
          </w:rPr>
          <w:t>https://www.fda.gov/media/137121/download</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FD"/>
    <w:rsid w:val="006233EF"/>
    <w:rsid w:val="006C2835"/>
    <w:rsid w:val="00801D6C"/>
    <w:rsid w:val="008807A9"/>
    <w:rsid w:val="009670FD"/>
    <w:rsid w:val="00DE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B3C5"/>
  <w15:chartTrackingRefBased/>
  <w15:docId w15:val="{7E74589F-95A7-4400-A879-FA368420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FD"/>
    <w:rPr>
      <w:color w:val="0563C1" w:themeColor="hyperlink"/>
      <w:u w:val="single"/>
    </w:rPr>
  </w:style>
  <w:style w:type="paragraph" w:styleId="FootnoteText">
    <w:name w:val="footnote text"/>
    <w:basedOn w:val="Normal"/>
    <w:link w:val="FootnoteTextChar"/>
    <w:uiPriority w:val="99"/>
    <w:semiHidden/>
    <w:unhideWhenUsed/>
    <w:rsid w:val="009670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0FD"/>
    <w:rPr>
      <w:sz w:val="20"/>
      <w:szCs w:val="20"/>
    </w:rPr>
  </w:style>
  <w:style w:type="character" w:styleId="FootnoteReference">
    <w:name w:val="footnote reference"/>
    <w:basedOn w:val="DefaultParagraphFont"/>
    <w:uiPriority w:val="99"/>
    <w:semiHidden/>
    <w:unhideWhenUsed/>
    <w:rsid w:val="009670FD"/>
    <w:rPr>
      <w:vertAlign w:val="superscript"/>
    </w:rPr>
  </w:style>
  <w:style w:type="paragraph" w:styleId="ListParagraph">
    <w:name w:val="List Paragraph"/>
    <w:basedOn w:val="Normal"/>
    <w:uiPriority w:val="34"/>
    <w:qFormat/>
    <w:rsid w:val="008807A9"/>
    <w:pPr>
      <w:ind w:left="720"/>
      <w:contextualSpacing/>
    </w:pPr>
  </w:style>
  <w:style w:type="character" w:styleId="FollowedHyperlink">
    <w:name w:val="FollowedHyperlink"/>
    <w:basedOn w:val="DefaultParagraphFont"/>
    <w:uiPriority w:val="99"/>
    <w:semiHidden/>
    <w:unhideWhenUsed/>
    <w:rsid w:val="00DE19BF"/>
    <w:rPr>
      <w:color w:val="954F72" w:themeColor="followedHyperlink"/>
      <w:u w:val="single"/>
    </w:rPr>
  </w:style>
  <w:style w:type="character" w:styleId="UnresolvedMention">
    <w:name w:val="Unresolved Mention"/>
    <w:basedOn w:val="DefaultParagraphFont"/>
    <w:uiPriority w:val="99"/>
    <w:semiHidden/>
    <w:unhideWhenUsed/>
    <w:rsid w:val="00DE1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cal-devices/personal-protective-equipment-infection-control/n95-respirators-surgical-masks-and-face-mas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Documents\Cabin%20Plans\(21%20USCS%20&#167;%20360bbb-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da.gov/media/137121/download" TargetMode="External"/><Relationship Id="rId5" Type="http://schemas.openxmlformats.org/officeDocument/2006/relationships/footnotes" Target="footnotes.xml"/><Relationship Id="rId10" Type="http://schemas.openxmlformats.org/officeDocument/2006/relationships/hyperlink" Target="file:///D:\Documents\Cabin%20Plans\(21%20USCS%20&#167;%20360bbb-3)" TargetMode="External"/><Relationship Id="rId4" Type="http://schemas.openxmlformats.org/officeDocument/2006/relationships/webSettings" Target="webSettings.xml"/><Relationship Id="rId9" Type="http://schemas.openxmlformats.org/officeDocument/2006/relationships/hyperlink" Target="https://www.fda.gov/emergency-preparedness-and-response/mcm-legal-regulatory-and-policy-framework/emergency-use-authoriz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uscode/text/21/360bbb-3" TargetMode="External"/><Relationship Id="rId2" Type="http://schemas.openxmlformats.org/officeDocument/2006/relationships/hyperlink" Target="https://ballotpedia.org/Article_2,_Arkansas_Constitution" TargetMode="External"/><Relationship Id="rId1" Type="http://schemas.openxmlformats.org/officeDocument/2006/relationships/hyperlink" Target="https://ballotpedia.org/Article_2,_Arkansas_Constitution" TargetMode="External"/><Relationship Id="rId5" Type="http://schemas.openxmlformats.org/officeDocument/2006/relationships/hyperlink" Target="https://www.fda.gov/media/137121/download" TargetMode="External"/><Relationship Id="rId4" Type="http://schemas.openxmlformats.org/officeDocument/2006/relationships/hyperlink" Target="https://casetext.com/case/doe-v-rumsfel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33E4-8D32-4EE2-9D3E-E4994622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2022-01-12T15:47:00Z</dcterms:created>
  <dcterms:modified xsi:type="dcterms:W3CDTF">2022-01-12T17:11:00Z</dcterms:modified>
</cp:coreProperties>
</file>